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18" w:x="3151" w:y="2084"/>
        <w:widowControl w:val="off"/>
        <w:autoSpaceDE w:val="off"/>
        <w:autoSpaceDN w:val="off"/>
        <w:spacing w:before="0" w:after="0" w:line="497" w:lineRule="exact"/>
        <w:ind w:left="0" w:right="0" w:firstLine="0"/>
        <w:jc w:val="left"/>
        <w:rPr>
          <w:rFonts w:ascii="Times New Roman"/>
          <w:color w:val="000000"/>
          <w:spacing w:val="0"/>
          <w:sz w:val="50"/>
        </w:rPr>
      </w:pPr>
      <w:r>
        <w:rPr>
          <w:rFonts w:ascii="SimSun" w:hAnsi="SimSun" w:cs="SimSun"/>
          <w:color w:val="000000"/>
          <w:spacing w:val="-3"/>
          <w:sz w:val="50"/>
        </w:rPr>
        <w:t>实用！物业费测算流程</w:t>
      </w:r>
      <w:r>
        <w:rPr>
          <w:rFonts w:ascii="Times New Roman"/>
          <w:color w:val="000000"/>
          <w:spacing w:val="0"/>
          <w:sz w:val="50"/>
        </w:rPr>
      </w:r>
    </w:p>
    <w:p>
      <w:pPr>
        <w:pStyle w:val="Normal"/>
        <w:framePr w:w="3709" w:x="7572" w:y="407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物业费测算流程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5710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一、了解当地法律法规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703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查询当地物业管理条例、前期物业管理招投标管理办法、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7032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物业服务收费管理办法等相关法律法规，明确管理费的相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7032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关内容与注意事项，主要如下：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986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、了解当地政府指导价，是否有最高价限制，是否强制性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9861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规定不可突破最高限价。若属于强制性不可突破的，应在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9861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测算时以物业公司不亏损为原则对人员数量、服务标准等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9861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进行适当调整与下浮。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527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、了解管理费是否需要包含水电公摊费用。管理费的收取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527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建议不包含水电公摊，若当地政策强制性规定必须包含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527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的，在进行管理费测算时须加入水电公摊的成本费用。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1682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二、了解项目基本情况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813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、与地产公司总工室、工程部、营销部联系，通过项目总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023" w:x="3331" w:y="1897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规图、相关设计图纸了解本项目基本情况，主要如下：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54pt;margin-top:148pt;z-index:-3;width:611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163pt;margin-top:203pt;z-index:-7;width:593pt;height:79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项目物业类型，占地面积，总建筑面积，住宅建筑面积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（洋房建筑面积，别墅建筑面积），商业建筑面积，项目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绿化面积，人工湖面积，园区出入口数量，楼栋数量，楼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宇层数，规划户数及入住人数，各种设施设备的数量及功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率等。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300" w:x="3331" w:y="6595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、若项目属于综合性楼盘（同时包含洋房、别墅、商铺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2402" w:x="3331" w:y="743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等）应：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26" w:x="3331" w:y="8608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17"/>
          <w:sz w:val="44"/>
        </w:rPr>
        <w:t>（</w:t>
      </w: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）对员工人力成本、保洁外包、绿化养护等费用按区域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26" w:x="3331" w:y="1062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17"/>
          <w:sz w:val="44"/>
        </w:rPr>
        <w:t>（</w:t>
      </w:r>
      <w:r>
        <w:rPr>
          <w:rFonts w:ascii="QSALDA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）涉及所有区域的管理人员人力成本、公共设施设备、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26" w:x="3331" w:y="10621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日常办公、固定资产折旧、保险等共用性费用先一起按总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26" w:x="3331" w:y="10621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额核算，然后按建筑面积比例（洋房建筑面、别墅建筑面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26" w:x="3331" w:y="10621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积、商铺建筑面积分别占总建筑面积的百分比）分摊测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26" w:x="3331" w:y="10621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1557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三、查询当地收费标准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6898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通过网络、电话等渠道了解当地与物业管理有关的专业服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6898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务机构收费行情，主要如下：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889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、电梯、机械车位、消防系统、水泵、高低压、中央空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889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调、监控系统、智能系统、热交换站等专业设备维修保养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889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的的市场收费标准；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63pt;margin-top:91pt;z-index:-11;width:593pt;height:986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、垃圾清运、四害消杀、化粪池清理、绿化养护、公众责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412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根据项目实际情况及市场价格确定本项目各种设施设备及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4126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专业服务的管理方式。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管理费测算一般包含的常规内容有：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、人力综合成本；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、清洁管理费用；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4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、绿化养护费用；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4</w:t>
      </w:r>
      <w:r>
        <w:rPr>
          <w:rFonts w:ascii="SimSun" w:hAnsi="SimSun" w:cs="SimSun"/>
          <w:color w:val="4b4b4b"/>
          <w:spacing w:val="-4"/>
          <w:sz w:val="44"/>
        </w:rPr>
        <w:t>、设备维护费用；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4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5</w:t>
      </w:r>
      <w:r>
        <w:rPr>
          <w:rFonts w:ascii="SimSun" w:hAnsi="SimSun" w:cs="SimSun"/>
          <w:color w:val="4b4b4b"/>
          <w:spacing w:val="-4"/>
          <w:sz w:val="44"/>
        </w:rPr>
        <w:t>、秩序维护费用；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6</w:t>
      </w:r>
      <w:r>
        <w:rPr>
          <w:rFonts w:ascii="SimSun" w:hAnsi="SimSun" w:cs="SimSun"/>
          <w:color w:val="4b4b4b"/>
          <w:spacing w:val="-4"/>
          <w:sz w:val="44"/>
        </w:rPr>
        <w:t>、日常办公费用；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7</w:t>
      </w:r>
      <w:r>
        <w:rPr>
          <w:rFonts w:ascii="SimSun" w:hAnsi="SimSun" w:cs="SimSun"/>
          <w:color w:val="4b4b4b"/>
          <w:spacing w:val="-4"/>
          <w:sz w:val="44"/>
        </w:rPr>
        <w:t>、固定资产折旧费用；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8</w:t>
      </w:r>
      <w:r>
        <w:rPr>
          <w:rFonts w:ascii="SimSun" w:hAnsi="SimSun" w:cs="SimSun"/>
          <w:color w:val="4b4b4b"/>
          <w:spacing w:val="-4"/>
          <w:sz w:val="44"/>
        </w:rPr>
        <w:t>、物业公司保险费用；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7911"/>
        <w:widowControl w:val="off"/>
        <w:autoSpaceDE w:val="off"/>
        <w:autoSpaceDN w:val="off"/>
        <w:spacing w:before="75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9</w:t>
      </w:r>
      <w:r>
        <w:rPr>
          <w:rFonts w:ascii="SimSun" w:hAnsi="SimSun" w:cs="SimSun"/>
          <w:color w:val="4b4b4b"/>
          <w:spacing w:val="-4"/>
          <w:sz w:val="44"/>
        </w:rPr>
        <w:t>、税费等。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20228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一、人力综合成本测算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63pt;margin-top:91pt;z-index:-15;width:593pt;height:976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013" w:x="3331" w:y="211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（一）制定人员架构及编制方案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3287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、根据项目建筑面积等基本信息及集团定岗定编原则制定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29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、人员编制应按楼盘成熟阶段的人员岗位及人数制定，会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29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所、六大中心、剧场等配合销售的人员岗位及停车场管理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299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岗位不纳入测算范围。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7013" w:x="3331" w:y="815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（二）制定人员工资及福利标准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300" w:x="3331" w:y="9328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、人员工资标准参考当地工资水平结合集团薪酬体系估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134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、社保、公积金、餐补等福利性费用按集团要求标准结合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1341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当地实际情况估算，可参考《前期介入物业服务协议》中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1341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的相关标准制定。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1464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二、清洁管理费用测算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5953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、清洁管理费用主要包括：保洁人员外包、垃圾清运、日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796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QSALDA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、按照当地市场价格水平按平均每人每月费用乘以清洁人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6512" w:x="3331" w:y="1880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数计算清洁人员外包费用；。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163pt;margin-top:91pt;z-index:-19;width:593pt;height:898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300" w:x="3331" w:y="210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、清洁外包一般按包工包料（人工、清洁物料、清洁用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0019" w:x="3331" w:y="294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具、清洁机器购置全部包含）计算费用标准。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4115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4</w:t>
      </w:r>
      <w:r>
        <w:rPr>
          <w:rFonts w:ascii="SimSun" w:hAnsi="SimSun" w:cs="SimSun"/>
          <w:color w:val="4b4b4b"/>
          <w:spacing w:val="-4"/>
          <w:sz w:val="44"/>
        </w:rPr>
        <w:t>、根据园区规划入住户数估算每月生活垃圾清运费用，一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4115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般可按</w:t>
      </w:r>
      <w:r>
        <w:rPr>
          <w:rFonts w:ascii="Times New Roman"/>
          <w:color w:val="4b4b4b"/>
          <w:spacing w:val="70"/>
          <w:sz w:val="44"/>
        </w:rPr>
        <w:t xml:space="preserve"> </w:t>
      </w:r>
      <w:r>
        <w:rPr>
          <w:rFonts w:ascii="TSNPFH+Nimbus Roman No9 L Regular"/>
          <w:color w:val="4b4b4b"/>
          <w:spacing w:val="0"/>
          <w:sz w:val="44"/>
        </w:rPr>
        <w:t>5</w:t>
      </w:r>
      <w:r>
        <w:rPr>
          <w:rFonts w:ascii="Times New Roman"/>
          <w:color w:val="4b4b4b"/>
          <w:spacing w:val="5"/>
          <w:sz w:val="44"/>
        </w:rPr>
        <w:t xml:space="preserve"> </w:t>
      </w:r>
      <w:r>
        <w:rPr>
          <w:rFonts w:ascii="SimSun" w:hAnsi="SimSun" w:cs="SimSun"/>
          <w:color w:val="4b4b4b"/>
          <w:spacing w:val="17"/>
          <w:sz w:val="44"/>
        </w:rPr>
        <w:t>元</w:t>
      </w:r>
      <w:r>
        <w:rPr>
          <w:rFonts w:ascii="TSNPFH+Nimbus Roman No9 L Regular"/>
          <w:color w:val="4b4b4b"/>
          <w:spacing w:val="22"/>
          <w:sz w:val="44"/>
        </w:rPr>
        <w:t>/</w:t>
      </w:r>
      <w:r>
        <w:rPr>
          <w:rFonts w:ascii="SimSun" w:hAnsi="SimSun" w:cs="SimSun"/>
          <w:color w:val="4b4b4b"/>
          <w:spacing w:val="-4"/>
          <w:sz w:val="44"/>
        </w:rPr>
        <w:t>户的标准计算；。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6127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5</w:t>
      </w:r>
      <w:r>
        <w:rPr>
          <w:rFonts w:ascii="SimSun" w:hAnsi="SimSun" w:cs="SimSun"/>
          <w:color w:val="4b4b4b"/>
          <w:spacing w:val="-4"/>
          <w:sz w:val="44"/>
        </w:rPr>
        <w:t>、按照当地市场价格水平按平均每次消杀费用乘以园区每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6127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月消杀次数（一般为</w:t>
      </w:r>
      <w:r>
        <w:rPr>
          <w:rFonts w:ascii="Times New Roman"/>
          <w:color w:val="4b4b4b"/>
          <w:spacing w:val="204"/>
          <w:sz w:val="44"/>
        </w:rPr>
        <w:t xml:space="preserve"> </w:t>
      </w:r>
      <w:r>
        <w:rPr>
          <w:rFonts w:ascii="TSNPFH+Nimbus Roman No9 L Regular"/>
          <w:color w:val="4b4b4b"/>
          <w:spacing w:val="-2"/>
          <w:sz w:val="44"/>
        </w:rPr>
        <w:t>2-4</w:t>
      </w:r>
      <w:r>
        <w:rPr>
          <w:rFonts w:ascii="Times New Roman"/>
          <w:color w:val="4b4b4b"/>
          <w:spacing w:val="50"/>
          <w:sz w:val="44"/>
        </w:rPr>
        <w:t xml:space="preserve"> </w:t>
      </w:r>
      <w:r>
        <w:rPr>
          <w:rFonts w:ascii="SimSun" w:hAnsi="SimSun" w:cs="SimSun"/>
          <w:color w:val="4b4b4b"/>
          <w:spacing w:val="17"/>
          <w:sz w:val="44"/>
        </w:rPr>
        <w:t>次</w:t>
      </w:r>
      <w:r>
        <w:rPr>
          <w:rFonts w:ascii="TSNPFH+Nimbus Roman No9 L Regular"/>
          <w:color w:val="4b4b4b"/>
          <w:spacing w:val="21"/>
          <w:sz w:val="44"/>
        </w:rPr>
        <w:t>/</w:t>
      </w:r>
      <w:r>
        <w:rPr>
          <w:rFonts w:ascii="SimSun" w:hAnsi="SimSun" w:cs="SimSun"/>
          <w:color w:val="4b4b4b"/>
          <w:spacing w:val="-4"/>
          <w:sz w:val="44"/>
        </w:rPr>
        <w:t>月）计算日常消杀费用。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814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6</w:t>
      </w:r>
      <w:r>
        <w:rPr>
          <w:rFonts w:ascii="SimSun" w:hAnsi="SimSun" w:cs="SimSun"/>
          <w:color w:val="4b4b4b"/>
          <w:spacing w:val="-4"/>
          <w:sz w:val="44"/>
        </w:rPr>
        <w:t>、日常消杀中一般不包含白蚁专项消杀防治，应根据项目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8980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所在地区实际情况确定是否需要增加白蚁专项防治费用。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10618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三、绿化养护费用测算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300" w:x="3331" w:y="11925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、绿化养护费用主要包括：日常绿化维护人工、苗木补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8015" w:x="3331" w:y="1276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种、绿化工具、肥料及农药等费用。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94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、绿化养护一般按照当地市场价格水平按平均每平方米养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941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护费用（包工包料）乘以园区绿化面积估算总体绿化养护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941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3150" w:x="3331" w:y="1678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、绿化养护费用一般按</w:t>
      </w:r>
      <w:r>
        <w:rPr>
          <w:rFonts w:ascii="Times New Roman"/>
          <w:color w:val="4b4b4b"/>
          <w:spacing w:val="222"/>
          <w:sz w:val="44"/>
        </w:rPr>
        <w:t xml:space="preserve"> </w:t>
      </w:r>
      <w:r>
        <w:rPr>
          <w:rFonts w:ascii="TSNPFH+Nimbus Roman No9 L Regular"/>
          <w:color w:val="4b4b4b"/>
          <w:spacing w:val="-2"/>
          <w:sz w:val="44"/>
        </w:rPr>
        <w:t>1-1.5</w:t>
      </w:r>
      <w:r>
        <w:rPr>
          <w:rFonts w:ascii="Times New Roman"/>
          <w:color w:val="4b4b4b"/>
          <w:spacing w:val="95"/>
          <w:sz w:val="44"/>
        </w:rPr>
        <w:t xml:space="preserve"> </w:t>
      </w:r>
      <w:r>
        <w:rPr>
          <w:rFonts w:ascii="SimSun" w:hAnsi="SimSun" w:cs="SimSun"/>
          <w:color w:val="4b4b4b"/>
          <w:spacing w:val="18"/>
          <w:sz w:val="44"/>
        </w:rPr>
        <w:t>元</w:t>
      </w:r>
      <w:r>
        <w:rPr>
          <w:rFonts w:ascii="TSNPFH+Nimbus Roman No9 L Regular"/>
          <w:color w:val="4b4b4b"/>
          <w:spacing w:val="21"/>
          <w:sz w:val="44"/>
        </w:rPr>
        <w:t>/</w:t>
      </w:r>
      <w:r>
        <w:rPr>
          <w:rFonts w:ascii="SimSun" w:hAnsi="SimSun" w:cs="SimSun"/>
          <w:color w:val="4b4b4b"/>
          <w:spacing w:val="-4"/>
          <w:sz w:val="44"/>
        </w:rPr>
        <w:t>㎡的单价标准进行测算。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18428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四、秩序维护费用测算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974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秩序维护费用主要包括：警用器材装备（巡更棒、对讲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974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机、灭火器、雪糕筒、隔离带、消防作战服、防毒面具、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63pt;margin-top:91pt;z-index:-23;width:593pt;height: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录像机硬盘、夜间反光衣等）的维护及更新费用等，根据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2114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保安岗位数量及相关设备配置数量进行估算。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457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五、日常办公费用测算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88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VIUUG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、日常办公费用主要包括：办公用水电、电话网络通讯、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886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报刊杂志、日常办公用品、社区文化、对外关系、交通差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886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旅、招聘广告、业务接待等费用。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8727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VIUUG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、日常办公费用可按项目实际情况结合下表参考标准进行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8727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测算，也可按大约</w:t>
      </w:r>
      <w:r>
        <w:rPr>
          <w:rFonts w:ascii="Times New Roman"/>
          <w:color w:val="4b4b4b"/>
          <w:spacing w:val="182"/>
          <w:sz w:val="44"/>
        </w:rPr>
        <w:t xml:space="preserve"> </w:t>
      </w:r>
      <w:r>
        <w:rPr>
          <w:rFonts w:ascii="SVIUUG+Nimbus Roman No9 L Regular"/>
          <w:color w:val="4b4b4b"/>
          <w:spacing w:val="-2"/>
          <w:sz w:val="44"/>
        </w:rPr>
        <w:t>100</w:t>
      </w:r>
      <w:r>
        <w:rPr>
          <w:rFonts w:ascii="Times New Roman"/>
          <w:color w:val="4b4b4b"/>
          <w:spacing w:val="54"/>
          <w:sz w:val="44"/>
        </w:rPr>
        <w:t xml:space="preserve"> </w:t>
      </w:r>
      <w:r>
        <w:rPr>
          <w:rFonts w:ascii="SimSun" w:hAnsi="SimSun" w:cs="SimSun"/>
          <w:color w:val="4b4b4b"/>
          <w:spacing w:val="17"/>
          <w:sz w:val="44"/>
        </w:rPr>
        <w:t>元</w:t>
      </w:r>
      <w:r>
        <w:rPr>
          <w:rFonts w:ascii="SVIUUG+Nimbus Roman No9 L Regular"/>
          <w:color w:val="4b4b4b"/>
          <w:spacing w:val="22"/>
          <w:sz w:val="44"/>
        </w:rPr>
        <w:t>/</w:t>
      </w:r>
      <w:r>
        <w:rPr>
          <w:rFonts w:ascii="SimSun" w:hAnsi="SimSun" w:cs="SimSun"/>
          <w:color w:val="4b4b4b"/>
          <w:spacing w:val="17"/>
          <w:sz w:val="44"/>
        </w:rPr>
        <w:t>人</w:t>
      </w:r>
      <w:r>
        <w:rPr>
          <w:rFonts w:ascii="SVIUUG+Nimbus Roman No9 L Regular"/>
          <w:color w:val="4b4b4b"/>
          <w:spacing w:val="22"/>
          <w:sz w:val="44"/>
        </w:rPr>
        <w:t>/</w:t>
      </w:r>
      <w:r>
        <w:rPr>
          <w:rFonts w:ascii="SimSun" w:hAnsi="SimSun" w:cs="SimSun"/>
          <w:color w:val="4b4b4b"/>
          <w:spacing w:val="-4"/>
          <w:sz w:val="44"/>
        </w:rPr>
        <w:t>月的总体办公费用标准乘以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8727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客服中心总人数进行估算。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5016" w:x="3331" w:y="12030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六、设备维护费用测算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33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VIUUG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、设备维护费用主要包括：电梯、机械车位、供配电、公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336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共照明、供暖、给排水（含水景水泵）、消防、监控安防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3336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等各项设备系统的日常维护维修费用。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3051" w:x="3331" w:y="1617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VIUUG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、电梯日常维护维修费用一般采用半包维保形式（物业公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3051" w:x="3331" w:y="16176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司出大额材料费用，支付给维保单位的维保费包含人工及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3051" w:x="3331" w:y="16176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小额材料费用），一般</w:t>
      </w:r>
      <w:r>
        <w:rPr>
          <w:rFonts w:ascii="Times New Roman"/>
          <w:color w:val="4b4b4b"/>
          <w:spacing w:val="226"/>
          <w:sz w:val="44"/>
        </w:rPr>
        <w:t xml:space="preserve"> </w:t>
      </w:r>
      <w:r>
        <w:rPr>
          <w:rFonts w:ascii="SVIUUG+Nimbus Roman No9 L Regular"/>
          <w:color w:val="4b4b4b"/>
          <w:spacing w:val="-2"/>
          <w:sz w:val="44"/>
        </w:rPr>
        <w:t>300-500</w:t>
      </w:r>
      <w:r>
        <w:rPr>
          <w:rFonts w:ascii="Times New Roman"/>
          <w:color w:val="4b4b4b"/>
          <w:spacing w:val="141"/>
          <w:sz w:val="44"/>
        </w:rPr>
        <w:t xml:space="preserve"> </w:t>
      </w:r>
      <w:r>
        <w:rPr>
          <w:rFonts w:ascii="SimSun" w:hAnsi="SimSun" w:cs="SimSun"/>
          <w:color w:val="4b4b4b"/>
          <w:spacing w:val="17"/>
          <w:sz w:val="44"/>
        </w:rPr>
        <w:t>元</w:t>
      </w:r>
      <w:r>
        <w:rPr>
          <w:rFonts w:ascii="SVIUUG+Nimbus Roman No9 L Regular"/>
          <w:color w:val="4b4b4b"/>
          <w:spacing w:val="18"/>
          <w:sz w:val="44"/>
        </w:rPr>
        <w:t>/</w:t>
      </w:r>
      <w:r>
        <w:rPr>
          <w:rFonts w:ascii="SimSun" w:hAnsi="SimSun" w:cs="SimSun"/>
          <w:color w:val="4b4b4b"/>
          <w:spacing w:val="-4"/>
          <w:sz w:val="44"/>
        </w:rPr>
        <w:t>月；电梯年审费用按当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3051" w:x="3331" w:y="16176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地政府质监局规定计算。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163pt;margin-top:91pt;z-index:-27;width:593pt;height:892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、除电梯外的供配电、公共照明、供暖设备、给排水、消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防、监控及安防等各项设备系统一般采用自行维保的形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式。自行维保的主要费用为维修耗材。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493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4</w:t>
      </w:r>
      <w:r>
        <w:rPr>
          <w:rFonts w:ascii="SimSun" w:hAnsi="SimSun" w:cs="SimSun"/>
          <w:color w:val="4b4b4b"/>
          <w:spacing w:val="-4"/>
          <w:sz w:val="44"/>
        </w:rPr>
        <w:t>、若有单项设备系统外委维保的根据当地市场外包价格水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2402" w:x="3331" w:y="577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平估算。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8727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、固定资产主要包括：办公电脑、打印机、传真机、空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8727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调、保险柜、打卡机、办公桌椅、饭堂灶具及宿舍资产等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8727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各项日常办公及生活使用的固定用具。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156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、根据客服中心人数及办公场所实际需要估算各项固定资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1564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产数量，再根据每项资产的当地市场单价计算固定资产总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1564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费用。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3134" w:x="3331" w:y="14405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TSNPFH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、固定资产一般根据资产性质按</w:t>
      </w:r>
      <w:r>
        <w:rPr>
          <w:rFonts w:ascii="Times New Roman"/>
          <w:color w:val="4b4b4b"/>
          <w:spacing w:val="309"/>
          <w:sz w:val="44"/>
        </w:rPr>
        <w:t xml:space="preserve"> </w:t>
      </w:r>
      <w:r>
        <w:rPr>
          <w:rFonts w:ascii="TSNPFH+Nimbus Roman No9 L Regular"/>
          <w:color w:val="4b4b4b"/>
          <w:spacing w:val="-2"/>
          <w:sz w:val="44"/>
        </w:rPr>
        <w:t>3-5</w:t>
      </w:r>
      <w:r>
        <w:rPr>
          <w:rFonts w:ascii="Times New Roman"/>
          <w:color w:val="4b4b4b"/>
          <w:spacing w:val="51"/>
          <w:sz w:val="44"/>
        </w:rPr>
        <w:t xml:space="preserve"> </w:t>
      </w:r>
      <w:r>
        <w:rPr>
          <w:rFonts w:ascii="SimSun" w:hAnsi="SimSun" w:cs="SimSun"/>
          <w:color w:val="4b4b4b"/>
          <w:spacing w:val="-4"/>
          <w:sz w:val="44"/>
        </w:rPr>
        <w:t>年折旧平均分摊到每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4145" w:x="3331" w:y="15245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月进行费用估算。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4145" w:x="3331" w:y="1688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八、保险费用测算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8201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物业公司的保险费用一般为小区公众责任险费用，应根据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8201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项目建筑面积、规划户数结合当地市场价格水平估算，一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8201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般为</w:t>
      </w:r>
      <w:r>
        <w:rPr>
          <w:rFonts w:ascii="Times New Roman"/>
          <w:color w:val="4b4b4b"/>
          <w:spacing w:val="48"/>
          <w:sz w:val="44"/>
        </w:rPr>
        <w:t xml:space="preserve"> </w:t>
      </w:r>
      <w:r>
        <w:rPr>
          <w:rFonts w:ascii="TSNPFH+Nimbus Roman No9 L Regular"/>
          <w:color w:val="4b4b4b"/>
          <w:spacing w:val="-2"/>
          <w:sz w:val="44"/>
        </w:rPr>
        <w:t>2-5</w:t>
      </w:r>
      <w:r>
        <w:rPr>
          <w:rFonts w:ascii="Times New Roman"/>
          <w:color w:val="4b4b4b"/>
          <w:spacing w:val="51"/>
          <w:sz w:val="44"/>
        </w:rPr>
        <w:t xml:space="preserve"> </w:t>
      </w:r>
      <w:r>
        <w:rPr>
          <w:rFonts w:ascii="SimSun" w:hAnsi="SimSun" w:cs="SimSun"/>
          <w:color w:val="4b4b4b"/>
          <w:spacing w:val="-2"/>
          <w:sz w:val="44"/>
        </w:rPr>
        <w:t>万元</w:t>
      </w:r>
      <w:r>
        <w:rPr>
          <w:rFonts w:ascii="TSNPFH+Nimbus Roman No9 L Regular"/>
          <w:color w:val="4b4b4b"/>
          <w:spacing w:val="21"/>
          <w:sz w:val="44"/>
        </w:rPr>
        <w:t>/</w:t>
      </w:r>
      <w:r>
        <w:rPr>
          <w:rFonts w:ascii="SimSun" w:hAnsi="SimSun" w:cs="SimSun"/>
          <w:color w:val="4b4b4b"/>
          <w:spacing w:val="-4"/>
          <w:sz w:val="44"/>
        </w:rPr>
        <w:t>年。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163pt;margin-top:91pt;z-index:-31;width:593pt;height:951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145" w:x="3331" w:y="2114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九、税金费用测算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579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PEVTTQ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、停车等经营性收入不纳入管理费测算的常规收入统计，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7514" w:x="3331" w:y="663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只作为项目日后的附加收入项目。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780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PEVTTQ+Nimbus Roman No9 L Regular"/>
          <w:color w:val="4b4b4b"/>
          <w:spacing w:val="21"/>
          <w:sz w:val="44"/>
        </w:rPr>
        <w:t>4</w:t>
      </w:r>
      <w:r>
        <w:rPr>
          <w:rFonts w:ascii="SimSun" w:hAnsi="SimSun" w:cs="SimSun"/>
          <w:color w:val="4b4b4b"/>
          <w:spacing w:val="-4"/>
          <w:sz w:val="44"/>
        </w:rPr>
        <w:t>、管理费收入可参考下表公式测算，一般先按照当地政府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780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指导价最高标准初步确定管理费标准，结合项目建筑面积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7809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计算管理费收入总额，最后根据项目及当地实际情况估算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780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收缴率后（一般按</w:t>
      </w:r>
      <w:r>
        <w:rPr>
          <w:rFonts w:ascii="Times New Roman"/>
          <w:color w:val="4b4b4b"/>
          <w:spacing w:val="182"/>
          <w:sz w:val="44"/>
        </w:rPr>
        <w:t xml:space="preserve"> </w:t>
      </w:r>
      <w:r>
        <w:rPr>
          <w:rFonts w:ascii="PEVTTQ+Nimbus Roman No9 L Regular"/>
          <w:color w:val="4b4b4b"/>
          <w:spacing w:val="-1"/>
          <w:sz w:val="44"/>
        </w:rPr>
        <w:t>95%</w:t>
      </w:r>
      <w:r>
        <w:rPr>
          <w:rFonts w:ascii="SimSun" w:hAnsi="SimSun" w:cs="SimSun"/>
          <w:color w:val="4b4b4b"/>
          <w:spacing w:val="-4"/>
          <w:sz w:val="44"/>
        </w:rPr>
        <w:t>左右）测算实际收入。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4145" w:x="3331" w:y="11940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十、费用测算汇总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3257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根据上述测算的人力综合成本、清洁管理费用、绿化养护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3257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费用、设备维护费用、秩序维护费用、日常办公费用、固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3257"/>
        <w:widowControl w:val="off"/>
        <w:autoSpaceDE w:val="off"/>
        <w:autoSpaceDN w:val="off"/>
        <w:spacing w:before="393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定资产折旧费用、物业公司保险费用及税金费用汇总统计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524" w:x="3331" w:y="13257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费用总和。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8686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PEVTTQ+Nimbus Roman No9 L Regular"/>
          <w:color w:val="4b4b4b"/>
          <w:spacing w:val="21"/>
          <w:sz w:val="44"/>
        </w:rPr>
        <w:t>1</w:t>
      </w:r>
      <w:r>
        <w:rPr>
          <w:rFonts w:ascii="SimSun" w:hAnsi="SimSun" w:cs="SimSun"/>
          <w:color w:val="4b4b4b"/>
          <w:spacing w:val="-4"/>
          <w:sz w:val="44"/>
        </w:rPr>
        <w:t>、根据上述相关测算依据完成管理费第一次测算后，应结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8686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合项目定位（高中低端）、当地政府指导价及周边项目现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18686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行收费标准进行比较衡量。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163pt;margin-top:69pt;z-index:-35;width:593pt;height:998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2</w:t>
      </w:r>
      <w:r>
        <w:rPr>
          <w:rFonts w:ascii="SimSun" w:hAnsi="SimSun" w:cs="SimSun"/>
          <w:color w:val="4b4b4b"/>
          <w:spacing w:val="-4"/>
          <w:sz w:val="44"/>
        </w:rPr>
        <w:t>、若测算后的收费标准与实际需要相差较远，应根据预估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389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的收费标准对测算内容中的相关项目费用进行调整，最后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2102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达到预估收费标准。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4939"/>
        <w:widowControl w:val="off"/>
        <w:autoSpaceDE w:val="off"/>
        <w:autoSpaceDN w:val="off"/>
        <w:spacing w:before="0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GRTDJK+Nimbus Roman No9 L Regular"/>
          <w:color w:val="4b4b4b"/>
          <w:spacing w:val="21"/>
          <w:sz w:val="44"/>
        </w:rPr>
        <w:t>3</w:t>
      </w:r>
      <w:r>
        <w:rPr>
          <w:rFonts w:ascii="SimSun" w:hAnsi="SimSun" w:cs="SimSun"/>
          <w:color w:val="4b4b4b"/>
          <w:spacing w:val="-4"/>
          <w:sz w:val="44"/>
        </w:rPr>
        <w:t>、若对管理费测算结果把握不准可在测算过程中带有定价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493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预估性进行测算，使测算结果与项目实际需要收费标准相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framePr w:w="12801" w:x="3331" w:y="4939"/>
        <w:widowControl w:val="off"/>
        <w:autoSpaceDE w:val="off"/>
        <w:autoSpaceDN w:val="off"/>
        <w:spacing w:before="392" w:after="0" w:line="436" w:lineRule="exact"/>
        <w:ind w:left="0" w:right="0" w:firstLine="0"/>
        <w:jc w:val="left"/>
        <w:rPr>
          <w:rFonts w:ascii="Times New Roman"/>
          <w:color w:val="000000"/>
          <w:spacing w:val="0"/>
          <w:sz w:val="44"/>
        </w:rPr>
      </w:pPr>
      <w:r>
        <w:rPr>
          <w:rFonts w:ascii="SimSun" w:hAnsi="SimSun" w:cs="SimSun"/>
          <w:color w:val="4b4b4b"/>
          <w:spacing w:val="-4"/>
          <w:sz w:val="44"/>
        </w:rPr>
        <w:t>符。</w:t>
      </w:r>
      <w:r>
        <w:rPr>
          <w:rFonts w:ascii="Times New Roman"/>
          <w:color w:val="000000"/>
          <w:spacing w:val="0"/>
          <w:sz w:val="4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163pt;margin-top:91pt;z-index:-39;width:593pt;height:271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8360" w:h="2376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QSALDA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D1E30CB-0000-0000-0000-000000000000}"/>
  </w:font>
  <w:font w:name="GRTDJK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769146C-0000-0000-0000-000000000000}"/>
  </w:font>
  <w:font w:name="TSNPFH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450FA360-0000-0000-0000-000000000000}"/>
  </w:font>
  <w:font w:name="SVIUUG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408ACFA0-0000-0000-0000-000000000000}"/>
  </w:font>
  <w:font w:name="PEVTTQ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FD2D5B5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styles" Target="styles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14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docProps/app.xml><?xml version="1.0" encoding="utf-8"?>
<Properties xmlns="http://schemas.openxmlformats.org/officeDocument/2006/extended-properties">
  <Template>Normal</Template>
  <TotalTime>3</TotalTime>
  <Pages>9</Pages>
  <Words>212</Words>
  <Characters>2586</Characters>
  <Application>Aspose</Application>
  <DocSecurity>0</DocSecurity>
  <Lines>136</Lines>
  <Paragraphs>136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2601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2022-09-15T09:26:36+08:00</dcterms:created>
  <dcterms:modified xmlns:xsi="http://www.w3.org/2001/XMLSchema-instance" xmlns:dcterms="http://purl.org/dc/terms/" xsi:type="dcterms:W3CDTF">2022-09-15T09:26:36+08:00</dcterms:modified>
</coreProperties>
</file>